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 постановлению администрации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Трубчевского</w:t>
      </w:r>
      <w:proofErr w:type="spellEnd"/>
      <w:r>
        <w:rPr>
          <w:rFonts w:eastAsia="Calibri"/>
          <w:sz w:val="26"/>
          <w:szCs w:val="26"/>
        </w:rPr>
        <w:t xml:space="preserve"> муниципального района </w:t>
      </w:r>
    </w:p>
    <w:p w:rsidR="00024B53" w:rsidRDefault="006776CC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  28.05.2018г. № 411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ИЗМЕНЕНИЯ</w:t>
      </w: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 муниципальную программу</w:t>
      </w:r>
    </w:p>
    <w:p w:rsidR="00024B53" w:rsidRDefault="00024B53" w:rsidP="00024B53">
      <w:pPr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Развитие образования </w:t>
      </w:r>
      <w:proofErr w:type="spellStart"/>
      <w:r>
        <w:rPr>
          <w:b/>
          <w:bCs/>
          <w:sz w:val="26"/>
          <w:szCs w:val="26"/>
        </w:rPr>
        <w:t>Трубчевского</w:t>
      </w:r>
      <w:proofErr w:type="spellEnd"/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 на 2018-2022 годы</w:t>
      </w:r>
      <w:r>
        <w:rPr>
          <w:rFonts w:eastAsia="Calibri"/>
          <w:b/>
          <w:sz w:val="26"/>
          <w:szCs w:val="26"/>
        </w:rPr>
        <w:t>»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1.Позицию паспорта «</w:t>
      </w:r>
      <w:r>
        <w:rPr>
          <w:color w:val="000000"/>
          <w:sz w:val="26"/>
          <w:szCs w:val="26"/>
        </w:rPr>
        <w:t>Объем бюджетных ассигнований на реализацию муниципальной программы</w:t>
      </w:r>
      <w:r>
        <w:rPr>
          <w:sz w:val="26"/>
          <w:szCs w:val="26"/>
        </w:rPr>
        <w:t>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Общий объем средств, предусмотренных на реализацию муниц</w:t>
      </w:r>
      <w:r w:rsidR="00A210D2">
        <w:rPr>
          <w:rFonts w:ascii="Times New Roman" w:hAnsi="Times New Roman" w:cs="Times New Roman"/>
          <w:color w:val="000000"/>
          <w:sz w:val="26"/>
          <w:szCs w:val="26"/>
        </w:rPr>
        <w:t>ипальной программы – 687 433 175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,28 рублей, 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числе: </w:t>
      </w:r>
    </w:p>
    <w:p w:rsidR="00024B53" w:rsidRDefault="00A210D2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232 114 283,28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229 061 776,00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EB0AF8">
      <w:pPr>
        <w:jc w:val="both"/>
        <w:rPr>
          <w:sz w:val="26"/>
          <w:szCs w:val="26"/>
        </w:rPr>
      </w:pPr>
    </w:p>
    <w:p w:rsidR="00024B53" w:rsidRPr="003B71AB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Позицию паспорта «Ожидаемые результаты реализации муниципальной </w:t>
      </w:r>
      <w:r w:rsidRPr="003B71AB">
        <w:rPr>
          <w:sz w:val="26"/>
          <w:szCs w:val="26"/>
        </w:rPr>
        <w:t>программы» изложить в редакции: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-увеличение доли образовательных учреждений, в которых проведены капитальные, текущие ремонты: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год-60%;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год-70%;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год-75%;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2018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 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-готовность учреждений к работе в осенне-зимний период: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 наличие призеров и победителей об</w:t>
      </w:r>
      <w:r w:rsidR="00EB0AF8">
        <w:rPr>
          <w:rFonts w:eastAsia="Calibri"/>
          <w:lang w:eastAsia="en-US"/>
        </w:rPr>
        <w:t>ластных спортивных соревнований, поддержка талантливой молодежи: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 xml:space="preserve">2020 год </w:t>
      </w:r>
      <w:proofErr w:type="gramStart"/>
      <w:r w:rsidRPr="003B71AB">
        <w:rPr>
          <w:rFonts w:eastAsia="Calibri"/>
          <w:color w:val="000000"/>
          <w:lang w:eastAsia="en-US"/>
        </w:rPr>
        <w:t>–н</w:t>
      </w:r>
      <w:proofErr w:type="gramEnd"/>
      <w:r w:rsidRPr="003B71AB">
        <w:rPr>
          <w:rFonts w:eastAsia="Calibri"/>
          <w:color w:val="000000"/>
          <w:lang w:eastAsia="en-US"/>
        </w:rPr>
        <w:t>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 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3B71AB">
        <w:rPr>
          <w:rFonts w:eastAsia="Calibri"/>
          <w:lang w:eastAsia="en-US"/>
        </w:rPr>
        <w:t>госпожнадзора</w:t>
      </w:r>
      <w:proofErr w:type="spellEnd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-укомплектованность педагогическими кадрами: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</w:t>
      </w:r>
      <w:r w:rsidR="003B71AB">
        <w:t>%</w:t>
      </w:r>
      <w:r w:rsidRPr="003B71AB">
        <w:t>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</w:t>
      </w:r>
      <w:bookmarkStart w:id="0" w:name="OLE_LINK2"/>
      <w:bookmarkStart w:id="1" w:name="OLE_LINK1"/>
      <w:r w:rsidRPr="003B71AB">
        <w:rPr>
          <w:rFonts w:eastAsia="Calibri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0"/>
      <w:bookmarkEnd w:id="1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год- 0.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rPr>
          <w:rFonts w:eastAsia="Calibri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</w:r>
      <w:r w:rsidRPr="003B71AB"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аппарата: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2018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2019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2020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2021 год-0%;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трудоустроенных несовершеннолетних от числа нуждающихся: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обеспечения потребности в услуге по оздоровлению детей: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 xml:space="preserve">-количество образовательных учреждений, получивших финансовую помощь в рамках программы «Развитие образования </w:t>
      </w:r>
      <w:r w:rsidR="00A210D2">
        <w:rPr>
          <w:rFonts w:eastAsia="Calibri"/>
          <w:lang w:eastAsia="en-US"/>
        </w:rPr>
        <w:t xml:space="preserve">и науки </w:t>
      </w:r>
      <w:r w:rsidRPr="003B71AB">
        <w:rPr>
          <w:rFonts w:eastAsia="Calibri"/>
          <w:lang w:eastAsia="en-US"/>
        </w:rPr>
        <w:t>Брянской области» (2014-2020гг.):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145BBA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</w:t>
      </w:r>
      <w:r w:rsidR="00024B53" w:rsidRPr="003B71AB">
        <w:rPr>
          <w:rFonts w:eastAsia="Calibri"/>
          <w:lang w:eastAsia="en-US"/>
        </w:rPr>
        <w:t>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год-0;</w:t>
      </w:r>
    </w:p>
    <w:p w:rsidR="00A210D2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год-0.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образовательных учреждений, получивших финансовую помощь в рамках</w:t>
      </w:r>
      <w:r>
        <w:rPr>
          <w:rFonts w:eastAsia="Calibri"/>
          <w:lang w:eastAsia="en-US"/>
        </w:rPr>
        <w:t xml:space="preserve"> программы «Развитие физической культуры и спорта</w:t>
      </w:r>
      <w:r w:rsidRPr="003B71AB">
        <w:rPr>
          <w:rFonts w:eastAsia="Calibri"/>
          <w:lang w:eastAsia="en-US"/>
        </w:rPr>
        <w:t xml:space="preserve"> Брянской области» (2014-2020гг.):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2018 год- </w:t>
      </w:r>
      <w:r w:rsidRPr="003B71AB">
        <w:rPr>
          <w:rFonts w:eastAsia="Calibri"/>
          <w:lang w:eastAsia="en-US"/>
        </w:rPr>
        <w:t>2;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2019 год- </w:t>
      </w:r>
      <w:r w:rsidRPr="003B71AB">
        <w:rPr>
          <w:rFonts w:eastAsia="Calibri"/>
          <w:lang w:eastAsia="en-US"/>
        </w:rPr>
        <w:t>2;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2020 год- </w:t>
      </w:r>
      <w:r w:rsidRPr="003B71AB">
        <w:rPr>
          <w:rFonts w:eastAsia="Calibri"/>
          <w:lang w:eastAsia="en-US"/>
        </w:rPr>
        <w:t>2;</w:t>
      </w:r>
    </w:p>
    <w:p w:rsidR="00A210D2" w:rsidRPr="003B71AB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год-0;</w:t>
      </w:r>
    </w:p>
    <w:p w:rsidR="00024B53" w:rsidRDefault="00A210D2" w:rsidP="00A210D2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год-0.</w:t>
      </w:r>
      <w:r w:rsidR="00024B53" w:rsidRPr="003B71AB">
        <w:rPr>
          <w:rFonts w:eastAsia="Calibri"/>
          <w:lang w:eastAsia="en-US"/>
        </w:rPr>
        <w:t>»</w:t>
      </w:r>
    </w:p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145BBA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24B53">
        <w:rPr>
          <w:sz w:val="26"/>
          <w:szCs w:val="26"/>
        </w:rPr>
        <w:t xml:space="preserve">. Раздел </w:t>
      </w:r>
      <w:proofErr w:type="spellStart"/>
      <w:r w:rsidR="00024B53">
        <w:rPr>
          <w:sz w:val="26"/>
          <w:szCs w:val="26"/>
        </w:rPr>
        <w:t>д</w:t>
      </w:r>
      <w:proofErr w:type="spellEnd"/>
      <w:r w:rsidR="00024B53">
        <w:rPr>
          <w:sz w:val="26"/>
          <w:szCs w:val="26"/>
        </w:rPr>
        <w:t>) «Информация о ресурсном обеспечении муниципальной программы»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Информация о ресурсном обеспечении муниципальной программы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A210D2">
        <w:rPr>
          <w:color w:val="000000"/>
          <w:sz w:val="26"/>
          <w:szCs w:val="26"/>
        </w:rPr>
        <w:t>687 433 175</w:t>
      </w:r>
      <w:r w:rsidR="00145BBA">
        <w:rPr>
          <w:color w:val="000000"/>
          <w:sz w:val="26"/>
          <w:szCs w:val="26"/>
        </w:rPr>
        <w:t>,28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024B53" w:rsidRDefault="00A210D2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232 114 283</w:t>
      </w:r>
      <w:r w:rsidR="00145BBA">
        <w:rPr>
          <w:rFonts w:ascii="Times New Roman" w:hAnsi="Times New Roman" w:cs="Times New Roman"/>
          <w:color w:val="000000"/>
          <w:sz w:val="26"/>
          <w:szCs w:val="26"/>
        </w:rPr>
        <w:t>,28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229 061 776,00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ж) «Описание состава муниципальной программы» изложить в редакции:</w:t>
      </w: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ж) «Описание состава муниципальной программы</w:t>
      </w:r>
    </w:p>
    <w:p w:rsidR="002A3316" w:rsidRDefault="002A3316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оказанию финансовой помощи муниципальным образовательным учреждениям, а также учреждениям относящихся к системе 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210D2" w:rsidRDefault="00024B53" w:rsidP="00145BB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</w:t>
      </w:r>
      <w:r w:rsidR="00A210D2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24B53" w:rsidRDefault="00A210D2" w:rsidP="00145BB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145BBA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p w:rsidR="00024B53" w:rsidRDefault="00024B53" w:rsidP="00024B53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A3316" w:rsidRDefault="002A3316" w:rsidP="002A3316">
      <w:pPr>
        <w:pStyle w:val="ConsPlusCel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и) «Сведения о показателях (индикаторах) муниципальной программы, подпрограмм и их значения</w:t>
      </w:r>
    </w:p>
    <w:p w:rsidR="002A3316" w:rsidRDefault="002A3316" w:rsidP="002A3316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024B53" w:rsidTr="00FD7C3B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024B53" w:rsidTr="00FD7C3B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</w:t>
            </w:r>
          </w:p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201</w:t>
            </w:r>
            <w:r w:rsidR="001D3C1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1D3C1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Очередной год 201</w:t>
            </w:r>
            <w:r w:rsidR="001D3C1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>Первый год планового периода 20</w:t>
            </w:r>
            <w:r w:rsidR="001D3C1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2"/>
              <w:jc w:val="center"/>
            </w:pPr>
            <w:r>
              <w:t>Второй  год планового периода 20</w:t>
            </w:r>
            <w:r w:rsidR="001D3C1D">
              <w:t>21</w:t>
            </w:r>
          </w:p>
        </w:tc>
      </w:tr>
      <w:tr w:rsidR="00FD7C3B" w:rsidTr="003B71AB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3B71AB">
              <w:t>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2E060E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3923DD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 w:rsidR="003923DD">
              <w:rPr>
                <w:rFonts w:eastAsia="Calibri"/>
                <w:lang w:eastAsia="en-US"/>
              </w:rPr>
              <w:t>осенн</w:t>
            </w:r>
            <w:r w:rsidR="00A210D2">
              <w:rPr>
                <w:rFonts w:eastAsia="Calibri"/>
                <w:lang w:eastAsia="en-US"/>
              </w:rPr>
              <w:t>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865372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Не менее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FD7C3B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</w:t>
            </w:r>
            <w:r w:rsidR="00F94BF5">
              <w:rPr>
                <w:rFonts w:eastAsia="Calibri"/>
                <w:lang w:eastAsia="en-US"/>
              </w:rPr>
              <w:t xml:space="preserve">и науки </w:t>
            </w:r>
            <w:r>
              <w:rPr>
                <w:rFonts w:eastAsia="Calibri"/>
                <w:lang w:eastAsia="en-US"/>
              </w:rPr>
              <w:t>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3B71AB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A210D2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Default="00A210D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Default="00A210D2" w:rsidP="00A210D2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</w:t>
            </w:r>
            <w:r w:rsidR="00BC37E8">
              <w:rPr>
                <w:rFonts w:eastAsia="Calibri"/>
                <w:lang w:eastAsia="en-US"/>
              </w:rPr>
              <w:t>физиче</w:t>
            </w:r>
            <w:r>
              <w:rPr>
                <w:rFonts w:eastAsia="Calibri"/>
                <w:lang w:eastAsia="en-US"/>
              </w:rPr>
              <w:t>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3B71A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3B71AB" w:rsidRDefault="00A210D2" w:rsidP="00CE55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D2" w:rsidRPr="00EB0AF6" w:rsidRDefault="00A210D2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24B53">
        <w:rPr>
          <w:rFonts w:ascii="Times New Roman" w:hAnsi="Times New Roman" w:cs="Times New Roman"/>
          <w:sz w:val="26"/>
          <w:szCs w:val="26"/>
        </w:rPr>
        <w:t>. План реализации программы изложить  в следующей редакции:</w:t>
      </w: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sectPr w:rsidR="00024B53" w:rsidSect="00B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B53"/>
    <w:rsid w:val="00024B53"/>
    <w:rsid w:val="000A5B8B"/>
    <w:rsid w:val="00145BBA"/>
    <w:rsid w:val="001D3C1D"/>
    <w:rsid w:val="002A3316"/>
    <w:rsid w:val="003923DD"/>
    <w:rsid w:val="003B71AB"/>
    <w:rsid w:val="004F45BA"/>
    <w:rsid w:val="006776CC"/>
    <w:rsid w:val="0072643A"/>
    <w:rsid w:val="00730DCD"/>
    <w:rsid w:val="00A210D2"/>
    <w:rsid w:val="00B560E4"/>
    <w:rsid w:val="00B85C37"/>
    <w:rsid w:val="00BC37E8"/>
    <w:rsid w:val="00BC4864"/>
    <w:rsid w:val="00CB3F65"/>
    <w:rsid w:val="00D10022"/>
    <w:rsid w:val="00E2488A"/>
    <w:rsid w:val="00EB0AF8"/>
    <w:rsid w:val="00F94BF5"/>
    <w:rsid w:val="00FD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24B53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semiHidden/>
    <w:rsid w:val="00024B53"/>
    <w:rPr>
      <w:rFonts w:ascii="Arial Narrow" w:eastAsia="Times New Roman" w:hAnsi="Arial Narrow" w:cs="Times New Roman"/>
      <w:b/>
      <w:bCs/>
      <w:i/>
      <w:iCs/>
      <w:sz w:val="24"/>
      <w:szCs w:val="24"/>
      <w:lang w:eastAsia="ru-RU"/>
    </w:rPr>
  </w:style>
  <w:style w:type="paragraph" w:customStyle="1" w:styleId="ConsPlusCell">
    <w:name w:val="ConsPlusCell"/>
    <w:rsid w:val="00024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EEEBD-DFA0-4284-8D3C-AF5FDB4B8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cp:lastPrinted>2018-05-22T06:12:00Z</cp:lastPrinted>
  <dcterms:created xsi:type="dcterms:W3CDTF">2018-04-20T06:49:00Z</dcterms:created>
  <dcterms:modified xsi:type="dcterms:W3CDTF">2018-05-30T11:14:00Z</dcterms:modified>
</cp:coreProperties>
</file>